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4F" w:rsidRPr="00BE214F" w:rsidRDefault="00BE214F" w:rsidP="00BE214F">
      <w:pPr>
        <w:ind w:firstLine="851"/>
        <w:jc w:val="center"/>
        <w:rPr>
          <w:b/>
          <w:sz w:val="28"/>
          <w:szCs w:val="28"/>
        </w:rPr>
      </w:pPr>
      <w:r w:rsidRPr="00BE214F">
        <w:rPr>
          <w:b/>
          <w:sz w:val="28"/>
          <w:szCs w:val="28"/>
        </w:rPr>
        <w:t>НЫРОВСКАЯ СЕЛЬСКАЯ ДУМА</w:t>
      </w:r>
    </w:p>
    <w:p w:rsidR="00BE214F" w:rsidRPr="00BE214F" w:rsidRDefault="00BE214F" w:rsidP="00BE214F">
      <w:pPr>
        <w:ind w:firstLine="851"/>
        <w:jc w:val="center"/>
        <w:rPr>
          <w:b/>
          <w:sz w:val="28"/>
          <w:szCs w:val="28"/>
        </w:rPr>
      </w:pPr>
      <w:r w:rsidRPr="00BE214F">
        <w:rPr>
          <w:b/>
          <w:sz w:val="28"/>
          <w:szCs w:val="28"/>
        </w:rPr>
        <w:t xml:space="preserve"> ТУЖИНСКОГО РАЙОНА КИРОВСКОЙ ОБЛАСТИ </w:t>
      </w:r>
    </w:p>
    <w:p w:rsidR="007B5027" w:rsidRPr="00BE214F" w:rsidRDefault="00BE214F" w:rsidP="00BE214F">
      <w:pPr>
        <w:ind w:firstLine="851"/>
        <w:jc w:val="center"/>
        <w:rPr>
          <w:b/>
          <w:sz w:val="28"/>
          <w:szCs w:val="28"/>
        </w:rPr>
      </w:pPr>
      <w:r w:rsidRPr="00BE214F">
        <w:rPr>
          <w:b/>
          <w:sz w:val="28"/>
          <w:szCs w:val="28"/>
        </w:rPr>
        <w:t>ЧЕТВЕРТОГО СОЗЫВА</w:t>
      </w:r>
    </w:p>
    <w:p w:rsidR="00BE214F" w:rsidRPr="00BE214F" w:rsidRDefault="00BE214F" w:rsidP="00BE214F">
      <w:pPr>
        <w:ind w:firstLine="851"/>
        <w:jc w:val="center"/>
        <w:rPr>
          <w:sz w:val="36"/>
          <w:szCs w:val="28"/>
        </w:rPr>
      </w:pPr>
    </w:p>
    <w:p w:rsidR="007B5027" w:rsidRPr="00BE214F" w:rsidRDefault="00BE214F" w:rsidP="00BE214F">
      <w:pPr>
        <w:ind w:firstLine="851"/>
        <w:jc w:val="center"/>
        <w:rPr>
          <w:b/>
          <w:sz w:val="28"/>
          <w:szCs w:val="28"/>
        </w:rPr>
      </w:pPr>
      <w:r w:rsidRPr="00BE214F">
        <w:rPr>
          <w:b/>
          <w:sz w:val="28"/>
          <w:szCs w:val="28"/>
        </w:rPr>
        <w:t>РЕШЕНИЕ</w:t>
      </w:r>
    </w:p>
    <w:p w:rsidR="007B5027" w:rsidRPr="00BE214F" w:rsidRDefault="007B5027" w:rsidP="00BE214F">
      <w:pPr>
        <w:ind w:firstLine="851"/>
        <w:jc w:val="center"/>
        <w:rPr>
          <w:b/>
          <w:sz w:val="36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214F" w:rsidRPr="008036DC" w:rsidTr="00BE214F">
        <w:tc>
          <w:tcPr>
            <w:tcW w:w="3190" w:type="dxa"/>
            <w:tcBorders>
              <w:bottom w:val="single" w:sz="4" w:space="0" w:color="auto"/>
            </w:tcBorders>
          </w:tcPr>
          <w:p w:rsidR="00BE214F" w:rsidRPr="008036DC" w:rsidRDefault="008036DC" w:rsidP="00BE214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16.07.2019</w:t>
            </w:r>
          </w:p>
        </w:tc>
        <w:tc>
          <w:tcPr>
            <w:tcW w:w="3190" w:type="dxa"/>
          </w:tcPr>
          <w:p w:rsidR="00BE214F" w:rsidRPr="008036DC" w:rsidRDefault="00BE214F" w:rsidP="00BE214F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8036DC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E214F" w:rsidRPr="008036DC" w:rsidRDefault="008036DC" w:rsidP="00BE214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036DC">
              <w:rPr>
                <w:rFonts w:eastAsiaTheme="minorEastAsia"/>
                <w:sz w:val="28"/>
                <w:szCs w:val="28"/>
              </w:rPr>
              <w:t>27/104</w:t>
            </w:r>
          </w:p>
        </w:tc>
      </w:tr>
    </w:tbl>
    <w:p w:rsidR="007B5027" w:rsidRPr="00BE214F" w:rsidRDefault="00BE214F" w:rsidP="00BE214F">
      <w:pPr>
        <w:ind w:firstLine="851"/>
        <w:jc w:val="center"/>
        <w:rPr>
          <w:rFonts w:eastAsiaTheme="minorEastAsia"/>
          <w:sz w:val="28"/>
          <w:szCs w:val="28"/>
        </w:rPr>
      </w:pPr>
      <w:r w:rsidRPr="00BE214F">
        <w:rPr>
          <w:rFonts w:eastAsiaTheme="minorEastAsia"/>
          <w:sz w:val="28"/>
          <w:szCs w:val="28"/>
        </w:rPr>
        <w:t>с. Ныр</w:t>
      </w:r>
    </w:p>
    <w:p w:rsidR="00BE214F" w:rsidRPr="00BE214F" w:rsidRDefault="00BE214F" w:rsidP="00BE214F">
      <w:pPr>
        <w:pStyle w:val="1"/>
        <w:spacing w:before="0" w:after="0"/>
        <w:ind w:firstLine="851"/>
        <w:jc w:val="center"/>
        <w:rPr>
          <w:rFonts w:ascii="Times New Roman" w:hAnsi="Times New Roman"/>
          <w:sz w:val="48"/>
          <w:szCs w:val="28"/>
        </w:rPr>
      </w:pPr>
    </w:p>
    <w:p w:rsidR="007B5027" w:rsidRPr="00BE214F" w:rsidRDefault="007B5027" w:rsidP="00BE214F">
      <w:pPr>
        <w:pStyle w:val="1"/>
        <w:spacing w:before="0" w:after="0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BE214F">
        <w:rPr>
          <w:rFonts w:ascii="Times New Roman" w:hAnsi="Times New Roman"/>
          <w:sz w:val="28"/>
          <w:szCs w:val="28"/>
        </w:rPr>
        <w:t>О земельном налоге</w:t>
      </w:r>
    </w:p>
    <w:p w:rsidR="007B5027" w:rsidRPr="00BE214F" w:rsidRDefault="007B5027" w:rsidP="00BE214F">
      <w:pPr>
        <w:ind w:firstLine="851"/>
        <w:jc w:val="center"/>
        <w:rPr>
          <w:sz w:val="48"/>
          <w:szCs w:val="28"/>
        </w:rPr>
      </w:pP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В соответствии с</w:t>
      </w:r>
      <w:r w:rsidR="00BE214F" w:rsidRPr="00BE214F">
        <w:rPr>
          <w:sz w:val="28"/>
          <w:szCs w:val="28"/>
        </w:rPr>
        <w:t xml:space="preserve">главой 31 Налогового Кодекса Российской Федерации, </w:t>
      </w:r>
      <w:r w:rsidRPr="00BE214F">
        <w:rPr>
          <w:sz w:val="28"/>
          <w:szCs w:val="28"/>
        </w:rPr>
        <w:t>Ф</w:t>
      </w:r>
      <w:r w:rsidR="00BE214F">
        <w:rPr>
          <w:sz w:val="28"/>
          <w:szCs w:val="28"/>
        </w:rPr>
        <w:t xml:space="preserve">едеральным Законом </w:t>
      </w:r>
      <w:r w:rsidRPr="00BE214F">
        <w:rPr>
          <w:sz w:val="28"/>
          <w:szCs w:val="28"/>
        </w:rPr>
        <w:t xml:space="preserve">от </w:t>
      </w:r>
      <w:r w:rsidR="00BE214F">
        <w:rPr>
          <w:sz w:val="28"/>
          <w:szCs w:val="28"/>
        </w:rPr>
        <w:t xml:space="preserve">06.10.2003 </w:t>
      </w:r>
      <w:r w:rsidRPr="00BE214F">
        <w:rPr>
          <w:sz w:val="28"/>
          <w:szCs w:val="28"/>
        </w:rPr>
        <w:t xml:space="preserve">№131 – ФЗ «Об общих принципах организации местного самоуправлении в Российской Федерации», Уставом муниципального образования </w:t>
      </w:r>
      <w:r w:rsidR="00BE214F">
        <w:rPr>
          <w:sz w:val="28"/>
          <w:szCs w:val="28"/>
        </w:rPr>
        <w:t>Ныровское</w:t>
      </w:r>
      <w:r w:rsidR="00534E06">
        <w:rPr>
          <w:sz w:val="28"/>
          <w:szCs w:val="28"/>
        </w:rPr>
        <w:t xml:space="preserve"> сельское</w:t>
      </w:r>
      <w:r w:rsidRPr="00BE214F">
        <w:rPr>
          <w:sz w:val="28"/>
          <w:szCs w:val="28"/>
        </w:rPr>
        <w:t xml:space="preserve"> поселение </w:t>
      </w:r>
      <w:r w:rsidR="00BE214F">
        <w:rPr>
          <w:sz w:val="28"/>
          <w:szCs w:val="28"/>
        </w:rPr>
        <w:t>Ныровская</w:t>
      </w:r>
      <w:r w:rsidRPr="00BE214F">
        <w:rPr>
          <w:sz w:val="28"/>
          <w:szCs w:val="28"/>
        </w:rPr>
        <w:t xml:space="preserve"> сельская Дума РЕШИЛА:</w:t>
      </w: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 xml:space="preserve">1. Установить на территории муниципального образования </w:t>
      </w:r>
      <w:r w:rsidR="00BE214F" w:rsidRPr="00BE214F">
        <w:rPr>
          <w:sz w:val="28"/>
          <w:szCs w:val="28"/>
        </w:rPr>
        <w:t>Ныровское</w:t>
      </w:r>
      <w:r w:rsidRPr="00BE214F">
        <w:rPr>
          <w:sz w:val="28"/>
          <w:szCs w:val="28"/>
        </w:rPr>
        <w:t xml:space="preserve"> сельское поселение </w:t>
      </w:r>
      <w:r w:rsidR="00BE214F" w:rsidRPr="00BE214F">
        <w:rPr>
          <w:sz w:val="28"/>
          <w:szCs w:val="28"/>
        </w:rPr>
        <w:t>Тужинского</w:t>
      </w:r>
      <w:r w:rsidRPr="00BE214F">
        <w:rPr>
          <w:sz w:val="28"/>
          <w:szCs w:val="28"/>
        </w:rPr>
        <w:t xml:space="preserve"> района Кировской области земельный налог</w:t>
      </w:r>
      <w:r w:rsidR="001F38C6" w:rsidRPr="00BE214F">
        <w:rPr>
          <w:sz w:val="28"/>
          <w:szCs w:val="28"/>
        </w:rPr>
        <w:t>.</w:t>
      </w: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2. Определить налоговые ставки, порядок и сроки уплаты налога, авансового платежа</w:t>
      </w:r>
      <w:r w:rsidR="002D68B6" w:rsidRPr="00BE214F">
        <w:rPr>
          <w:sz w:val="28"/>
          <w:szCs w:val="28"/>
        </w:rPr>
        <w:t>.</w:t>
      </w: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3. Налоговые ставки устанавливаются в следующих размерах:</w:t>
      </w: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3.1. 0,3 процента  в отношении земельных участков:</w:t>
      </w: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606F" w:rsidRPr="00BE214F" w:rsidRDefault="0059606F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- занятых жилищным фондом 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9606F" w:rsidRPr="00BE214F" w:rsidRDefault="0059606F" w:rsidP="008036DC">
      <w:pPr>
        <w:pStyle w:val="a4"/>
        <w:spacing w:after="0" w:line="360" w:lineRule="auto"/>
        <w:ind w:left="0"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lastRenderedPageBreak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9606F" w:rsidRPr="00BE214F" w:rsidRDefault="0059606F" w:rsidP="008036DC">
      <w:pPr>
        <w:pStyle w:val="ConsPlusNormal0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E214F">
        <w:rPr>
          <w:rFonts w:ascii="Times New Roman" w:hAnsi="Times New Roman" w:cs="Times New Roman"/>
        </w:rPr>
        <w:t>-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9606F" w:rsidRPr="00BE214F" w:rsidRDefault="0059606F" w:rsidP="008036DC">
      <w:pPr>
        <w:pStyle w:val="ConsPlusNormal0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E214F">
        <w:rPr>
          <w:rFonts w:ascii="Times New Roman" w:hAnsi="Times New Roman" w:cs="Times New Roman"/>
        </w:rPr>
        <w:t>3.2. 1,5 процента в отношении прочих земельных участков.</w:t>
      </w:r>
    </w:p>
    <w:p w:rsidR="0059606F" w:rsidRPr="00BE214F" w:rsidRDefault="009C1ECA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 xml:space="preserve">Вышеперечисленные ставки земельного налога устанавливаются едиными для всех перечисленных категорий налогоплательщиков на территории </w:t>
      </w:r>
      <w:r w:rsidR="00BE214F" w:rsidRPr="00BE214F">
        <w:rPr>
          <w:sz w:val="28"/>
          <w:szCs w:val="28"/>
        </w:rPr>
        <w:t>Ныровского</w:t>
      </w:r>
      <w:r w:rsidRPr="00BE214F">
        <w:rPr>
          <w:sz w:val="28"/>
          <w:szCs w:val="28"/>
        </w:rPr>
        <w:t xml:space="preserve"> сельского поселе</w:t>
      </w:r>
      <w:bookmarkStart w:id="0" w:name="_GoBack"/>
      <w:bookmarkEnd w:id="0"/>
      <w:r w:rsidRPr="00BE214F">
        <w:rPr>
          <w:sz w:val="28"/>
          <w:szCs w:val="28"/>
        </w:rPr>
        <w:t>ния.</w:t>
      </w:r>
    </w:p>
    <w:p w:rsidR="006525D3" w:rsidRPr="00BE214F" w:rsidRDefault="001F32B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4</w:t>
      </w:r>
      <w:r w:rsidR="006525D3" w:rsidRPr="00BE214F">
        <w:rPr>
          <w:sz w:val="28"/>
          <w:szCs w:val="28"/>
        </w:rPr>
        <w:t xml:space="preserve">. Налоговые льготы ограничиваются перечнем, установленным ст. 395 Налогового </w:t>
      </w:r>
      <w:r w:rsidR="00534E06">
        <w:rPr>
          <w:sz w:val="28"/>
          <w:szCs w:val="28"/>
        </w:rPr>
        <w:t>к</w:t>
      </w:r>
      <w:r w:rsidR="006525D3" w:rsidRPr="00BE214F">
        <w:rPr>
          <w:sz w:val="28"/>
          <w:szCs w:val="28"/>
        </w:rPr>
        <w:t>одекса Российской Федерации. Налоговые льготы не распространяются на земельные участки (части, доли земельных участков), сдаваемых в аренду.</w:t>
      </w:r>
    </w:p>
    <w:p w:rsidR="007C5297" w:rsidRPr="00BE214F" w:rsidRDefault="001F32B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5</w:t>
      </w:r>
      <w:r w:rsidR="007C5297" w:rsidRPr="00BE214F">
        <w:rPr>
          <w:sz w:val="28"/>
          <w:szCs w:val="28"/>
        </w:rPr>
        <w:t>. Полностью освобождаются от уплаты земельного налога Ветераны и Инвалиды Великой Отечественной Войны.</w:t>
      </w:r>
    </w:p>
    <w:p w:rsidR="006525D3" w:rsidRPr="00BE214F" w:rsidRDefault="006525D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color w:val="000000" w:themeColor="text1"/>
          <w:sz w:val="28"/>
          <w:szCs w:val="28"/>
        </w:rPr>
        <w:t>6.</w:t>
      </w:r>
      <w:r w:rsidR="00F122C3" w:rsidRPr="00BE214F">
        <w:rPr>
          <w:color w:val="000000" w:themeColor="text1"/>
          <w:sz w:val="28"/>
          <w:szCs w:val="28"/>
        </w:rPr>
        <w:t>Порядок и сроки представления налогоплательщиками документов, подтверждающих право на уменьшение налоговой базы</w:t>
      </w:r>
      <w:r w:rsidR="001A3A4C" w:rsidRPr="00BE214F">
        <w:rPr>
          <w:color w:val="000000" w:themeColor="text1"/>
          <w:sz w:val="28"/>
          <w:szCs w:val="28"/>
        </w:rPr>
        <w:t>, определены</w:t>
      </w:r>
      <w:r w:rsidR="00F122C3" w:rsidRPr="00BE214F">
        <w:rPr>
          <w:color w:val="000000" w:themeColor="text1"/>
          <w:sz w:val="28"/>
          <w:szCs w:val="28"/>
        </w:rPr>
        <w:t xml:space="preserve"> ст. 391 Налогового Кодекса Российской Федерации.</w:t>
      </w:r>
    </w:p>
    <w:p w:rsidR="00F122C3" w:rsidRPr="00BE214F" w:rsidRDefault="00F122C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>а) документы, подтверждающие право на уменьшение налоговой базы, предоставляются налогоплательщиками в налоговый орган по месту нахождения земельного участка, признаваемого объектом налогообложения, в срок не позднее 1 июня года, являющимся налоговым периодом.</w:t>
      </w:r>
    </w:p>
    <w:p w:rsidR="00F122C3" w:rsidRPr="00BE214F" w:rsidRDefault="00F122C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t xml:space="preserve">б) в случае возникновения (утраты) у налогоплательщика в течении налогового (отчетного) периода права на уменьшение налоговой базы налогоплательщик обязан </w:t>
      </w:r>
      <w:r w:rsidR="002A23F7" w:rsidRPr="00BE214F">
        <w:rPr>
          <w:sz w:val="28"/>
          <w:szCs w:val="28"/>
        </w:rPr>
        <w:t>до 31 декабря года являющимся налоговым периодом</w:t>
      </w:r>
      <w:r w:rsidR="007C5297" w:rsidRPr="00BE214F">
        <w:rPr>
          <w:sz w:val="28"/>
          <w:szCs w:val="28"/>
        </w:rPr>
        <w:t>после возникновения (утраты) указанного права уведомить об этом налоговый орган по месту нахождения земельного участка.</w:t>
      </w:r>
    </w:p>
    <w:p w:rsidR="009C1ECA" w:rsidRPr="00BE214F" w:rsidRDefault="001F32B3" w:rsidP="008036DC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BE214F">
        <w:rPr>
          <w:color w:val="000000" w:themeColor="text1"/>
          <w:sz w:val="28"/>
          <w:szCs w:val="28"/>
        </w:rPr>
        <w:t>7</w:t>
      </w:r>
      <w:r w:rsidR="009C1ECA" w:rsidRPr="00BE214F">
        <w:rPr>
          <w:sz w:val="28"/>
          <w:szCs w:val="28"/>
        </w:rPr>
        <w:t xml:space="preserve">. </w:t>
      </w:r>
      <w:r w:rsidR="009C1ECA" w:rsidRPr="00B0324E">
        <w:rPr>
          <w:sz w:val="28"/>
          <w:szCs w:val="28"/>
        </w:rPr>
        <w:t xml:space="preserve">Организации уплачивают земельный налог не позднее </w:t>
      </w:r>
      <w:r w:rsidR="00B0324E">
        <w:rPr>
          <w:sz w:val="28"/>
          <w:szCs w:val="28"/>
        </w:rPr>
        <w:t>10</w:t>
      </w:r>
      <w:r w:rsidR="009C1ECA" w:rsidRPr="00B0324E">
        <w:rPr>
          <w:sz w:val="28"/>
          <w:szCs w:val="28"/>
        </w:rPr>
        <w:t xml:space="preserve"> февраля года, следующего за истекшим</w:t>
      </w:r>
      <w:r w:rsidR="009C1ECA" w:rsidRPr="00BE214F">
        <w:rPr>
          <w:sz w:val="28"/>
          <w:szCs w:val="28"/>
        </w:rPr>
        <w:t xml:space="preserve"> налоговым периодом.</w:t>
      </w:r>
    </w:p>
    <w:p w:rsidR="001F32B3" w:rsidRPr="00B0324E" w:rsidRDefault="001F32B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E214F">
        <w:rPr>
          <w:sz w:val="28"/>
          <w:szCs w:val="28"/>
        </w:rPr>
        <w:lastRenderedPageBreak/>
        <w:t xml:space="preserve">Налогоплательщиками </w:t>
      </w:r>
      <w:r w:rsidRPr="00B0324E">
        <w:rPr>
          <w:sz w:val="28"/>
          <w:szCs w:val="28"/>
        </w:rPr>
        <w:t xml:space="preserve">организациями авансовые платежи по земельному налогу уплачиваются в течении </w:t>
      </w:r>
      <w:r w:rsidR="00B0324E" w:rsidRPr="00B0324E">
        <w:rPr>
          <w:sz w:val="28"/>
          <w:szCs w:val="28"/>
        </w:rPr>
        <w:t>10</w:t>
      </w:r>
      <w:r w:rsidRPr="00B0324E">
        <w:rPr>
          <w:sz w:val="28"/>
          <w:szCs w:val="28"/>
        </w:rPr>
        <w:t>-ти дней после окончания первого, второго, третьего квартала текущего налогового периода:</w:t>
      </w:r>
    </w:p>
    <w:p w:rsidR="001F32B3" w:rsidRPr="00B0324E" w:rsidRDefault="001F32B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0324E">
        <w:rPr>
          <w:sz w:val="28"/>
          <w:szCs w:val="28"/>
        </w:rPr>
        <w:t xml:space="preserve">1 квартал – до </w:t>
      </w:r>
      <w:r w:rsidR="00B0324E" w:rsidRPr="00B0324E">
        <w:rPr>
          <w:sz w:val="28"/>
          <w:szCs w:val="28"/>
        </w:rPr>
        <w:t>10 мая</w:t>
      </w:r>
      <w:r w:rsidRPr="00B0324E">
        <w:rPr>
          <w:sz w:val="28"/>
          <w:szCs w:val="28"/>
        </w:rPr>
        <w:t xml:space="preserve"> текущего налогового периода;</w:t>
      </w:r>
    </w:p>
    <w:p w:rsidR="001F32B3" w:rsidRPr="00B0324E" w:rsidRDefault="001F32B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0324E">
        <w:rPr>
          <w:sz w:val="28"/>
          <w:szCs w:val="28"/>
        </w:rPr>
        <w:t xml:space="preserve">2 квартал – до </w:t>
      </w:r>
      <w:r w:rsidR="00B0324E" w:rsidRPr="00B0324E">
        <w:rPr>
          <w:sz w:val="28"/>
          <w:szCs w:val="28"/>
        </w:rPr>
        <w:t>10 августа</w:t>
      </w:r>
      <w:r w:rsidRPr="00B0324E">
        <w:rPr>
          <w:sz w:val="28"/>
          <w:szCs w:val="28"/>
        </w:rPr>
        <w:t xml:space="preserve"> текущего налогового периода;</w:t>
      </w:r>
    </w:p>
    <w:p w:rsidR="001F32B3" w:rsidRPr="00BE214F" w:rsidRDefault="001F32B3" w:rsidP="008036DC">
      <w:pPr>
        <w:spacing w:line="360" w:lineRule="auto"/>
        <w:ind w:firstLine="851"/>
        <w:jc w:val="both"/>
        <w:rPr>
          <w:sz w:val="28"/>
          <w:szCs w:val="28"/>
        </w:rPr>
      </w:pPr>
      <w:r w:rsidRPr="00B0324E">
        <w:rPr>
          <w:sz w:val="28"/>
          <w:szCs w:val="28"/>
        </w:rPr>
        <w:t xml:space="preserve">3 квартал – до </w:t>
      </w:r>
      <w:r w:rsidR="00B0324E" w:rsidRPr="00B0324E">
        <w:rPr>
          <w:sz w:val="28"/>
          <w:szCs w:val="28"/>
        </w:rPr>
        <w:t>10 ноября</w:t>
      </w:r>
      <w:r w:rsidRPr="00BE214F">
        <w:rPr>
          <w:sz w:val="28"/>
          <w:szCs w:val="28"/>
        </w:rPr>
        <w:t>текущего налогового периода.</w:t>
      </w:r>
    </w:p>
    <w:p w:rsidR="00B0324E" w:rsidRDefault="001F32B3" w:rsidP="008036DC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E214F">
        <w:rPr>
          <w:color w:val="000000" w:themeColor="text1"/>
          <w:sz w:val="28"/>
          <w:szCs w:val="28"/>
        </w:rPr>
        <w:t>8</w:t>
      </w:r>
      <w:r w:rsidR="009C1ECA" w:rsidRPr="00BE214F">
        <w:rPr>
          <w:color w:val="000000" w:themeColor="text1"/>
          <w:sz w:val="28"/>
          <w:szCs w:val="28"/>
        </w:rPr>
        <w:t>. Признать утратившим</w:t>
      </w:r>
      <w:r w:rsidR="00534E06">
        <w:rPr>
          <w:color w:val="000000" w:themeColor="text1"/>
          <w:sz w:val="28"/>
          <w:szCs w:val="28"/>
        </w:rPr>
        <w:t>и</w:t>
      </w:r>
      <w:r w:rsidR="009C1ECA" w:rsidRPr="00BE214F">
        <w:rPr>
          <w:color w:val="000000" w:themeColor="text1"/>
          <w:sz w:val="28"/>
          <w:szCs w:val="28"/>
        </w:rPr>
        <w:t xml:space="preserve"> силу решени</w:t>
      </w:r>
      <w:r w:rsidR="00B0324E">
        <w:rPr>
          <w:color w:val="000000" w:themeColor="text1"/>
          <w:sz w:val="28"/>
          <w:szCs w:val="28"/>
        </w:rPr>
        <w:t>я Ныровской сельской Думы:</w:t>
      </w:r>
    </w:p>
    <w:p w:rsidR="009C1ECA" w:rsidRDefault="00B0324E" w:rsidP="008036DC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09.12.2016 № 47/211 «</w:t>
      </w:r>
      <w:r w:rsidRPr="00B0324E">
        <w:rPr>
          <w:color w:val="000000" w:themeColor="text1"/>
          <w:sz w:val="28"/>
          <w:szCs w:val="28"/>
        </w:rPr>
        <w:t>Об утверждении Положения о земельном налоге</w:t>
      </w:r>
      <w:r>
        <w:rPr>
          <w:color w:val="000000" w:themeColor="text1"/>
          <w:sz w:val="28"/>
          <w:szCs w:val="28"/>
        </w:rPr>
        <w:t>»;</w:t>
      </w:r>
    </w:p>
    <w:p w:rsidR="00B0324E" w:rsidRPr="00BE214F" w:rsidRDefault="00B0324E" w:rsidP="008036DC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21.02.2017 № 50/221 «О внесении изменений в решение Ныровской сельской Думы от 09.12.2016 № 47/211».</w:t>
      </w:r>
    </w:p>
    <w:p w:rsidR="009C1ECA" w:rsidRPr="00BE214F" w:rsidRDefault="001F32B3" w:rsidP="008036DC">
      <w:pPr>
        <w:tabs>
          <w:tab w:val="left" w:pos="72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E214F">
        <w:rPr>
          <w:color w:val="000000" w:themeColor="text1"/>
          <w:sz w:val="28"/>
          <w:szCs w:val="28"/>
        </w:rPr>
        <w:t>9</w:t>
      </w:r>
      <w:r w:rsidR="009C1ECA" w:rsidRPr="00BE214F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="00B0324E">
        <w:rPr>
          <w:color w:val="000000" w:themeColor="text1"/>
          <w:sz w:val="28"/>
          <w:szCs w:val="28"/>
        </w:rPr>
        <w:t>Б</w:t>
      </w:r>
      <w:r w:rsidR="009C1ECA" w:rsidRPr="00BE214F">
        <w:rPr>
          <w:color w:val="000000" w:themeColor="text1"/>
          <w:sz w:val="28"/>
          <w:szCs w:val="28"/>
        </w:rPr>
        <w:t xml:space="preserve">юллетене </w:t>
      </w:r>
      <w:r w:rsidR="00B0324E">
        <w:rPr>
          <w:color w:val="000000" w:themeColor="text1"/>
          <w:sz w:val="28"/>
          <w:szCs w:val="28"/>
        </w:rPr>
        <w:t xml:space="preserve">нормативных правовых актов </w:t>
      </w:r>
      <w:r w:rsidR="009C1ECA" w:rsidRPr="00BE214F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B0324E">
        <w:rPr>
          <w:color w:val="000000" w:themeColor="text1"/>
          <w:sz w:val="28"/>
          <w:szCs w:val="28"/>
        </w:rPr>
        <w:t>Ныровского</w:t>
      </w:r>
      <w:r w:rsidR="009C1ECA" w:rsidRPr="00BE214F">
        <w:rPr>
          <w:color w:val="000000" w:themeColor="text1"/>
          <w:sz w:val="28"/>
          <w:szCs w:val="28"/>
        </w:rPr>
        <w:t xml:space="preserve"> сельского поселения </w:t>
      </w:r>
      <w:r w:rsidR="00B0324E">
        <w:rPr>
          <w:color w:val="000000" w:themeColor="text1"/>
          <w:sz w:val="28"/>
          <w:szCs w:val="28"/>
        </w:rPr>
        <w:t xml:space="preserve">Тужинского района  Кировской области, </w:t>
      </w:r>
      <w:r w:rsidR="009C1ECA" w:rsidRPr="00BE214F">
        <w:rPr>
          <w:color w:val="000000" w:themeColor="text1"/>
          <w:sz w:val="28"/>
          <w:szCs w:val="28"/>
        </w:rPr>
        <w:t>разместить</w:t>
      </w:r>
      <w:r w:rsidR="00B0324E">
        <w:rPr>
          <w:color w:val="000000" w:themeColor="text1"/>
          <w:sz w:val="28"/>
          <w:szCs w:val="28"/>
        </w:rPr>
        <w:t xml:space="preserve">на официальном сайте администрации Ныровского сельского поселения в информационно-телекоммуникационной </w:t>
      </w:r>
      <w:r w:rsidR="009C1ECA" w:rsidRPr="00BE214F">
        <w:rPr>
          <w:color w:val="000000" w:themeColor="text1"/>
          <w:sz w:val="28"/>
          <w:szCs w:val="28"/>
        </w:rPr>
        <w:t xml:space="preserve">сети </w:t>
      </w:r>
      <w:r w:rsidR="00865C04">
        <w:rPr>
          <w:color w:val="000000" w:themeColor="text1"/>
          <w:sz w:val="28"/>
          <w:szCs w:val="28"/>
        </w:rPr>
        <w:t>«</w:t>
      </w:r>
      <w:r w:rsidR="009C1ECA" w:rsidRPr="00BE214F">
        <w:rPr>
          <w:color w:val="000000" w:themeColor="text1"/>
          <w:sz w:val="28"/>
          <w:szCs w:val="28"/>
        </w:rPr>
        <w:t>Интернет</w:t>
      </w:r>
      <w:r w:rsidR="00865C04">
        <w:rPr>
          <w:color w:val="000000" w:themeColor="text1"/>
          <w:sz w:val="28"/>
          <w:szCs w:val="28"/>
        </w:rPr>
        <w:t>»</w:t>
      </w:r>
      <w:r w:rsidR="009C1ECA" w:rsidRPr="00BE214F">
        <w:rPr>
          <w:color w:val="000000" w:themeColor="text1"/>
          <w:sz w:val="28"/>
          <w:szCs w:val="28"/>
        </w:rPr>
        <w:t>.</w:t>
      </w:r>
    </w:p>
    <w:p w:rsidR="00F64135" w:rsidRPr="00BE214F" w:rsidRDefault="001F32B3" w:rsidP="008036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E214F">
        <w:rPr>
          <w:color w:val="000000" w:themeColor="text1"/>
          <w:sz w:val="28"/>
          <w:szCs w:val="28"/>
        </w:rPr>
        <w:t>10</w:t>
      </w:r>
      <w:r w:rsidR="009C1ECA" w:rsidRPr="00BE214F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2D68B6" w:rsidRPr="00BE214F">
        <w:rPr>
          <w:rFonts w:eastAsiaTheme="minorHAnsi"/>
          <w:color w:val="000000" w:themeColor="text1"/>
          <w:sz w:val="28"/>
          <w:szCs w:val="28"/>
          <w:lang w:eastAsia="en-US"/>
        </w:rPr>
        <w:t>не ранее чем по истечении одного месяца со дня</w:t>
      </w:r>
      <w:r w:rsidR="002D68B6" w:rsidRPr="00BE214F">
        <w:rPr>
          <w:rFonts w:eastAsiaTheme="minorHAnsi"/>
          <w:sz w:val="28"/>
          <w:szCs w:val="28"/>
          <w:lang w:eastAsia="en-US"/>
        </w:rPr>
        <w:t xml:space="preserve"> его официального опубликован</w:t>
      </w:r>
      <w:r w:rsidR="002D68B6" w:rsidRPr="00865C04">
        <w:rPr>
          <w:rFonts w:eastAsiaTheme="minorHAnsi"/>
          <w:sz w:val="28"/>
          <w:szCs w:val="28"/>
          <w:lang w:eastAsia="en-US"/>
        </w:rPr>
        <w:t>ия</w:t>
      </w:r>
      <w:r w:rsidR="001428FE">
        <w:rPr>
          <w:rFonts w:eastAsiaTheme="minorHAnsi"/>
          <w:sz w:val="28"/>
          <w:szCs w:val="28"/>
          <w:lang w:eastAsia="en-US"/>
        </w:rPr>
        <w:t xml:space="preserve"> </w:t>
      </w:r>
      <w:r w:rsidR="00F64135" w:rsidRPr="00865C04">
        <w:rPr>
          <w:rFonts w:eastAsiaTheme="minorHAnsi"/>
          <w:sz w:val="28"/>
          <w:szCs w:val="28"/>
          <w:lang w:eastAsia="en-US"/>
        </w:rPr>
        <w:t>и действует с 01.01.</w:t>
      </w:r>
      <w:r w:rsidR="00865C04" w:rsidRPr="00865C04">
        <w:rPr>
          <w:rFonts w:eastAsiaTheme="minorHAnsi"/>
          <w:sz w:val="28"/>
          <w:szCs w:val="28"/>
          <w:lang w:eastAsia="en-US"/>
        </w:rPr>
        <w:t>2020 года</w:t>
      </w:r>
      <w:r w:rsidR="00F64135" w:rsidRPr="00865C04">
        <w:rPr>
          <w:rFonts w:eastAsiaTheme="minorHAnsi"/>
          <w:sz w:val="28"/>
          <w:szCs w:val="28"/>
          <w:lang w:eastAsia="en-US"/>
        </w:rPr>
        <w:t>.</w:t>
      </w:r>
    </w:p>
    <w:p w:rsidR="009C1ECA" w:rsidRPr="00865C04" w:rsidRDefault="009C1ECA" w:rsidP="00BE214F">
      <w:pPr>
        <w:ind w:firstLine="851"/>
        <w:jc w:val="both"/>
        <w:rPr>
          <w:sz w:val="72"/>
          <w:szCs w:val="72"/>
        </w:rPr>
      </w:pPr>
    </w:p>
    <w:p w:rsidR="00865C04" w:rsidRDefault="00865C04" w:rsidP="00865C0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Ныровского </w:t>
      </w:r>
    </w:p>
    <w:p w:rsidR="00865C04" w:rsidRDefault="00534E06" w:rsidP="00865C0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65C04">
        <w:rPr>
          <w:sz w:val="28"/>
          <w:szCs w:val="26"/>
        </w:rPr>
        <w:t>Г.Н. Тохтеев</w:t>
      </w:r>
    </w:p>
    <w:p w:rsidR="00865C04" w:rsidRPr="00BE214F" w:rsidRDefault="00865C04" w:rsidP="00BE214F">
      <w:pPr>
        <w:ind w:firstLine="851"/>
        <w:jc w:val="both"/>
        <w:rPr>
          <w:sz w:val="28"/>
          <w:szCs w:val="28"/>
        </w:rPr>
      </w:pPr>
    </w:p>
    <w:sectPr w:rsidR="00865C04" w:rsidRPr="00BE214F" w:rsidSect="0042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69" w:rsidRDefault="00152169" w:rsidP="00076D23">
      <w:r>
        <w:separator/>
      </w:r>
    </w:p>
  </w:endnote>
  <w:endnote w:type="continuationSeparator" w:id="0">
    <w:p w:rsidR="00152169" w:rsidRDefault="00152169" w:rsidP="0007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69" w:rsidRDefault="00152169" w:rsidP="00076D23">
      <w:r>
        <w:separator/>
      </w:r>
    </w:p>
  </w:footnote>
  <w:footnote w:type="continuationSeparator" w:id="0">
    <w:p w:rsidR="00152169" w:rsidRDefault="00152169" w:rsidP="0007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85E3C"/>
    <w:multiLevelType w:val="hybridMultilevel"/>
    <w:tmpl w:val="AE628ED8"/>
    <w:lvl w:ilvl="0" w:tplc="E32A4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27"/>
    <w:rsid w:val="00016352"/>
    <w:rsid w:val="00076D23"/>
    <w:rsid w:val="000F5467"/>
    <w:rsid w:val="001103E4"/>
    <w:rsid w:val="001262C8"/>
    <w:rsid w:val="001428FE"/>
    <w:rsid w:val="00152169"/>
    <w:rsid w:val="00192872"/>
    <w:rsid w:val="001A3A4C"/>
    <w:rsid w:val="001F32B3"/>
    <w:rsid w:val="001F38C6"/>
    <w:rsid w:val="002A23F7"/>
    <w:rsid w:val="002D68B6"/>
    <w:rsid w:val="00422E93"/>
    <w:rsid w:val="0045013A"/>
    <w:rsid w:val="00534E06"/>
    <w:rsid w:val="0059606F"/>
    <w:rsid w:val="006525D3"/>
    <w:rsid w:val="006B6547"/>
    <w:rsid w:val="0075248D"/>
    <w:rsid w:val="007B5027"/>
    <w:rsid w:val="007C5297"/>
    <w:rsid w:val="007C6166"/>
    <w:rsid w:val="008036DC"/>
    <w:rsid w:val="00865C04"/>
    <w:rsid w:val="00921B70"/>
    <w:rsid w:val="00997A4D"/>
    <w:rsid w:val="009C1ECA"/>
    <w:rsid w:val="00B0324E"/>
    <w:rsid w:val="00BE1B8B"/>
    <w:rsid w:val="00BE214F"/>
    <w:rsid w:val="00C71777"/>
    <w:rsid w:val="00E948A1"/>
    <w:rsid w:val="00F122C3"/>
    <w:rsid w:val="00F6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F0BF-50A5-4ABF-9248-D6DEA1CF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02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027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7B502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11"/>
    <w:semiHidden/>
    <w:unhideWhenUsed/>
    <w:rsid w:val="007B5027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7B50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B5027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7B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link w:val="a4"/>
    <w:semiHidden/>
    <w:locked/>
    <w:rsid w:val="007B502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960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D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6D2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E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E21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21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22</cp:revision>
  <cp:lastPrinted>2019-06-28T09:46:00Z</cp:lastPrinted>
  <dcterms:created xsi:type="dcterms:W3CDTF">2019-06-05T07:18:00Z</dcterms:created>
  <dcterms:modified xsi:type="dcterms:W3CDTF">2019-07-12T17:14:00Z</dcterms:modified>
</cp:coreProperties>
</file>